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77777777" w:rsidR="00CB0520" w:rsidRDefault="00CB0520" w:rsidP="00CB0520">
      <w:pPr>
        <w:jc w:val="center"/>
        <w:rPr>
          <w:rFonts w:ascii="Times New Roman" w:hAnsi="Times New Roman"/>
          <w:sz w:val="24"/>
          <w:szCs w:val="22"/>
        </w:rPr>
      </w:pPr>
      <w:r>
        <w:rPr>
          <w:rFonts w:ascii="Times New Roman" w:hAnsi="Times New Roman"/>
          <w:sz w:val="24"/>
        </w:rPr>
        <w:t>SL</w:t>
      </w:r>
    </w:p>
    <w:p w14:paraId="2D00CB42" w14:textId="77777777" w:rsidR="00CB0520" w:rsidRDefault="00CB0520" w:rsidP="00CB0520">
      <w:pPr>
        <w:rPr>
          <w:rFonts w:asciiTheme="minorHAnsi" w:hAnsiTheme="minorHAnsi"/>
          <w:sz w:val="22"/>
        </w:rPr>
      </w:pPr>
    </w:p>
    <w:p w14:paraId="2B5F5695" w14:textId="77777777" w:rsidR="009C5DD6" w:rsidRPr="00037E7B" w:rsidRDefault="009C5DD6" w:rsidP="009C5DD6">
      <w:pPr>
        <w:jc w:val="center"/>
        <w:rPr>
          <w:rFonts w:ascii="Times New Roman" w:hAnsi="Times New Roman"/>
          <w:sz w:val="24"/>
        </w:rPr>
      </w:pPr>
      <w:r>
        <w:rPr>
          <w:rFonts w:ascii="Times New Roman" w:hAnsi="Times New Roman"/>
          <w:sz w:val="24"/>
        </w:rPr>
        <w:t>PRILOGA II</w:t>
      </w:r>
    </w:p>
    <w:p w14:paraId="03895EA2" w14:textId="77777777" w:rsidR="009C5DD6" w:rsidRPr="00037E7B" w:rsidRDefault="009C5DD6" w:rsidP="009C5DD6">
      <w:pPr>
        <w:jc w:val="center"/>
        <w:rPr>
          <w:rFonts w:ascii="Times New Roman" w:hAnsi="Times New Roman"/>
          <w:sz w:val="24"/>
        </w:rPr>
      </w:pPr>
      <w:r>
        <w:rPr>
          <w:rFonts w:ascii="Times New Roman" w:hAnsi="Times New Roman"/>
          <w:sz w:val="24"/>
        </w:rPr>
        <w:t>„PRILOGA II</w:t>
      </w:r>
    </w:p>
    <w:p w14:paraId="480031C9" w14:textId="77777777" w:rsidR="009C5DD6" w:rsidRPr="00037E7B" w:rsidRDefault="009C5DD6" w:rsidP="009C5DD6">
      <w:pPr>
        <w:jc w:val="center"/>
        <w:rPr>
          <w:rFonts w:ascii="Times New Roman" w:hAnsi="Times New Roman"/>
          <w:b/>
          <w:sz w:val="24"/>
        </w:rPr>
      </w:pPr>
      <w:r>
        <w:rPr>
          <w:rFonts w:ascii="Times New Roman" w:hAnsi="Times New Roman"/>
          <w:b/>
          <w:sz w:val="24"/>
        </w:rPr>
        <w:t>NAVODILA ZA POROČANJE O KAPITALU IN KAPITALSKIH ZAHTEVAH</w:t>
      </w:r>
    </w:p>
    <w:p w14:paraId="08E08E50" w14:textId="77777777" w:rsidR="00EE75F2" w:rsidRDefault="00EE75F2"/>
    <w:p w14:paraId="29C05932" w14:textId="7194A2B7" w:rsidR="00925646" w:rsidRDefault="00FA21C6" w:rsidP="0092564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DEL II: NAVODILA V ZVEZI S PREDLOGAMI</w:t>
      </w:r>
    </w:p>
    <w:p w14:paraId="4DA6D037" w14:textId="77777777" w:rsidR="00FC29F5" w:rsidRDefault="00736637" w:rsidP="0092564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7B580897" w14:textId="4FDF8965" w:rsidR="00736637" w:rsidRPr="00736637" w:rsidRDefault="00736637" w:rsidP="0092564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32AAD9A"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0" w:name="_Toc310415035"/>
      <w:bookmarkStart w:id="1" w:name="_Toc360188372"/>
      <w:bookmarkStart w:id="2" w:name="_Toc473560923"/>
      <w:bookmarkStart w:id="3" w:name="_Toc151714430"/>
      <w:r>
        <w:rPr>
          <w:rFonts w:ascii="Times New Roman" w:hAnsi="Times New Roman"/>
          <w:sz w:val="24"/>
          <w:u w:val="none"/>
        </w:rPr>
        <w:t>3.6</w:t>
      </w:r>
      <w:r w:rsidRPr="00C779EA">
        <w:rPr>
          <w:u w:val="none"/>
        </w:rPr>
        <w:tab/>
      </w:r>
      <w:r>
        <w:rPr>
          <w:rFonts w:ascii="Times New Roman" w:hAnsi="Times New Roman"/>
          <w:sz w:val="24"/>
        </w:rPr>
        <w:t>C 11.00 – Tveganje poravnave/izročitve</w:t>
      </w:r>
      <w:bookmarkEnd w:id="0"/>
      <w:bookmarkEnd w:id="1"/>
      <w:r>
        <w:rPr>
          <w:rFonts w:ascii="Times New Roman" w:hAnsi="Times New Roman"/>
          <w:sz w:val="24"/>
        </w:rPr>
        <w:t xml:space="preserve"> (CR SETT)</w:t>
      </w:r>
      <w:bookmarkEnd w:id="2"/>
      <w:bookmarkEnd w:id="3"/>
    </w:p>
    <w:p w14:paraId="2752D001"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4" w:name="_Toc262568045"/>
      <w:bookmarkStart w:id="5" w:name="_Toc295829924"/>
      <w:bookmarkStart w:id="6" w:name="_Toc310415036"/>
      <w:bookmarkStart w:id="7" w:name="_Toc360188373"/>
      <w:bookmarkStart w:id="8" w:name="_Toc473560924"/>
      <w:bookmarkStart w:id="9" w:name="_Toc151714431"/>
      <w:r>
        <w:rPr>
          <w:rFonts w:ascii="Times New Roman" w:hAnsi="Times New Roman"/>
          <w:sz w:val="24"/>
          <w:u w:val="none"/>
        </w:rPr>
        <w:t>3.6.1</w:t>
      </w:r>
      <w:r w:rsidRPr="00C779EA">
        <w:rPr>
          <w:u w:val="none"/>
        </w:rPr>
        <w:tab/>
      </w:r>
      <w:r>
        <w:rPr>
          <w:rFonts w:ascii="Times New Roman" w:hAnsi="Times New Roman"/>
          <w:sz w:val="24"/>
        </w:rPr>
        <w:t>Splošne opombe</w:t>
      </w:r>
      <w:bookmarkEnd w:id="4"/>
      <w:bookmarkEnd w:id="5"/>
      <w:bookmarkEnd w:id="6"/>
      <w:bookmarkEnd w:id="7"/>
      <w:bookmarkEnd w:id="8"/>
      <w:bookmarkEnd w:id="9"/>
    </w:p>
    <w:p w14:paraId="2F026EC9" w14:textId="0B459D4B" w:rsidR="00925646" w:rsidRPr="002A677E" w:rsidRDefault="00925646" w:rsidP="00925646">
      <w:pPr>
        <w:pStyle w:val="InstructionsText2"/>
        <w:numPr>
          <w:ilvl w:val="0"/>
          <w:numId w:val="0"/>
        </w:numPr>
        <w:ind w:left="993"/>
      </w:pPr>
      <w:r>
        <w:fldChar w:fldCharType="begin"/>
      </w:r>
      <w:r>
        <w:instrText>seq paragraphs</w:instrText>
      </w:r>
      <w:r>
        <w:fldChar w:fldCharType="separate"/>
      </w:r>
      <w:r>
        <w:t>99</w:t>
      </w:r>
      <w:r>
        <w:fldChar w:fldCharType="end"/>
      </w:r>
      <w:r>
        <w:t>.</w:t>
      </w:r>
      <w:r>
        <w:tab/>
        <w:t xml:space="preserve">V tej predlogi se navedejo informacije glede poslov iz trgovalne in netrgovalne knjige, ki še niso poravnani po datumih zapadlosti, ter njihovih ustreznih kapitalskih zahtevah za tveganje poravnave iz člena 92(3), točka (c)(ii), in člena 378 Uredbe (EU) št. 575/2013. </w:t>
      </w:r>
    </w:p>
    <w:p w14:paraId="0B60E63F" w14:textId="08AFF3CE"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100</w:t>
      </w:r>
      <w:r>
        <w:fldChar w:fldCharType="end"/>
      </w:r>
      <w:r>
        <w:t>.</w:t>
      </w:r>
      <w:r>
        <w:tab/>
        <w:t xml:space="preserve">Institucije v predlogi CR SETT poročajo informacije o tveganju poravnave/izročitve v povezavi z dolžniškimi instrumenti, lastniškimi instrumenti, tujimi valutami in blagom v njihovi trgovalni ali netrgovalni knjigi. </w:t>
      </w:r>
    </w:p>
    <w:p w14:paraId="1F6DAE78" w14:textId="6128EA18"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101</w:t>
      </w:r>
      <w:r>
        <w:fldChar w:fldCharType="end"/>
      </w:r>
      <w:r>
        <w:t>.</w:t>
      </w:r>
      <w:r>
        <w:tab/>
        <w:t>V skladu s členom 378 Uredbe (EU) št. 575/2013 repo posli ter posoja in izposoja vrednostnih papirjev ali blaga v zvezi z dolžniškimi instrumenti, lastniškimi instrumenti, tujimi valutami in blagom niso predmet kapitalskih zahtev za tveganje poravnave/izročitve. Vendar je treba opozoriti, da so izvedeni finančni instrumenti in posli z dolgim rokom poravnave, ki še niso poravnani po datumih zapadlosti, kljub temu predmet kapitalskih zahtev za tveganje poravnave/izročitve v skladu s členom 378 Uredbe (EU) št. 575/2013.</w:t>
      </w:r>
    </w:p>
    <w:p w14:paraId="4DCAF22E" w14:textId="79A986C3"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102</w:t>
      </w:r>
      <w:r>
        <w:fldChar w:fldCharType="end"/>
      </w:r>
      <w:r>
        <w:t>.</w:t>
      </w:r>
      <w:r>
        <w:tab/>
        <w:t xml:space="preserve">V primeru neporavnanih poslov po datumu zapadlosti institucije izračunajo razliko v ceni, ki so ji izpostavljene. To je razlika med dogovorjeno ceno poravnave za zadevni dolžniški instrument, instrument, tujo valuto ali blago in njihovo tekočo tržno vrednostjo, kadar bi lahko razlika lahko pomenila izgubo za institucijo. </w:t>
      </w:r>
    </w:p>
    <w:p w14:paraId="7DB9BE93" w14:textId="77A3E431"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103</w:t>
      </w:r>
      <w:r>
        <w:fldChar w:fldCharType="end"/>
      </w:r>
      <w:r>
        <w:t>.</w:t>
      </w:r>
      <w:r>
        <w:tab/>
        <w:t>Institucije to razliko pomnožijo z ustreznim faktorjem iz člena 378, razpredelnica 1, Uredbe (EU) št. 575/2013, da se določijo ustrezne kapitalske zahteve.</w:t>
      </w:r>
    </w:p>
    <w:p w14:paraId="59D114DF" w14:textId="657627A8"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104</w:t>
      </w:r>
      <w:r>
        <w:fldChar w:fldCharType="end"/>
      </w:r>
      <w:r>
        <w:t>.</w:t>
      </w:r>
      <w:r>
        <w:tab/>
        <w:t>V skladu s členom 92(4), točka (b), Uredbe (EU) št. 575/2013 se kapitalske zahteve za tveganje poravnave/izročitve pomnožijo z 12,5, da se izračuna znesek izpostavljenosti tveganju.</w:t>
      </w:r>
    </w:p>
    <w:p w14:paraId="451A9870" w14:textId="00DC3B9D"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105</w:t>
      </w:r>
      <w:r>
        <w:fldChar w:fldCharType="end"/>
      </w:r>
      <w:r>
        <w:t>.</w:t>
      </w:r>
      <w:r>
        <w:tab/>
        <w:t>Upoštevati je treba, da kapitalske zahteve za proste izročitve iz člena 379 Uredbe (EU) št. 575/2013 ne spadajo v obseg predloge CR SETT. Te kapitalske zahteve se poročajo v predlogah za kreditno tveganje (CR SA, CR IRB).</w:t>
      </w:r>
    </w:p>
    <w:p w14:paraId="2856C9F8"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10" w:name="_Toc310415037"/>
      <w:bookmarkStart w:id="11" w:name="_Toc360188374"/>
      <w:bookmarkStart w:id="12" w:name="_Toc473560925"/>
      <w:bookmarkStart w:id="13" w:name="_Toc151714432"/>
      <w:r>
        <w:rPr>
          <w:rFonts w:ascii="Times New Roman" w:hAnsi="Times New Roman"/>
          <w:sz w:val="24"/>
          <w:u w:val="none"/>
        </w:rPr>
        <w:lastRenderedPageBreak/>
        <w:t>3.6.2</w:t>
      </w:r>
      <w:r w:rsidRPr="00C779EA">
        <w:rPr>
          <w:u w:val="none"/>
        </w:rPr>
        <w:tab/>
      </w:r>
      <w:r>
        <w:rPr>
          <w:rFonts w:ascii="Times New Roman" w:hAnsi="Times New Roman"/>
          <w:sz w:val="24"/>
        </w:rPr>
        <w:t>Navodila za posamezne pozicije</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2A677E" w14:paraId="1C4B6209" w14:textId="77777777" w:rsidTr="00E07FE9">
        <w:tc>
          <w:tcPr>
            <w:tcW w:w="8856" w:type="dxa"/>
            <w:gridSpan w:val="2"/>
            <w:shd w:val="clear" w:color="auto" w:fill="CCCCCC"/>
          </w:tcPr>
          <w:p w14:paraId="248EFB4C"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b/>
                <w:sz w:val="24"/>
              </w:rPr>
              <w:t>Stolpci</w:t>
            </w:r>
          </w:p>
        </w:tc>
      </w:tr>
      <w:tr w:rsidR="00925646" w:rsidRPr="002A677E" w14:paraId="0C777B7A" w14:textId="77777777" w:rsidTr="00E07FE9">
        <w:tc>
          <w:tcPr>
            <w:tcW w:w="852" w:type="dxa"/>
          </w:tcPr>
          <w:p w14:paraId="12FCBB6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04AF1B5E"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NEPORAVNANI POSLI PO CENI PORAVNAVE</w:t>
            </w:r>
          </w:p>
          <w:p w14:paraId="4CB9A5A9"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Institucije poročajo neporavnane posle po datumu njihove zapadlosti po ustreznih dogovorjenih cenah poravnave, kot je navedeno v členu 378 Uredbe (EU) št. 575/2013. </w:t>
            </w:r>
          </w:p>
          <w:p w14:paraId="09152D4C"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V ta stolpec se vključijo vsi neporavnani posli ne glede na to, ali imajo po zapadlem datumu poravnave dobiček ali izgubo.</w:t>
            </w:r>
          </w:p>
        </w:tc>
      </w:tr>
      <w:tr w:rsidR="00925646" w:rsidRPr="002A677E" w14:paraId="5FEA9B26" w14:textId="77777777" w:rsidTr="00E07FE9">
        <w:tc>
          <w:tcPr>
            <w:tcW w:w="852" w:type="dxa"/>
          </w:tcPr>
          <w:p w14:paraId="5EC8BA01"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594AB87"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IZPOSTAVLJENOST RAZLIKI V CENI ZARADI NEPORAVNANIH POSLOV</w:t>
            </w:r>
          </w:p>
          <w:p w14:paraId="43853ADA"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Institucije poročajo razliko v ceni med dogovorjeno ceno poravnave in tekočo tržno vrednostjo za zadevni dolžniški instrument, lastniški instrument, tujo valuto ali blago, kadar bi razlika lahko pomenila izgubo za institucijo, kot je navedeno v členu 378 Uredbe (EU) št. 575/2013. </w:t>
            </w:r>
          </w:p>
          <w:p w14:paraId="692F8AB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V tem stolpcu se poročajo le neporavnani posli z izgubo po zapadlem datumu poravnave.</w:t>
            </w:r>
          </w:p>
        </w:tc>
      </w:tr>
      <w:tr w:rsidR="00925646" w:rsidRPr="002A677E" w14:paraId="40F087AE" w14:textId="77777777" w:rsidTr="00E07FE9">
        <w:tc>
          <w:tcPr>
            <w:tcW w:w="852" w:type="dxa"/>
          </w:tcPr>
          <w:p w14:paraId="464EF1DF"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DA1D585"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KAPITALSKE ZAHTEVE</w:t>
            </w:r>
          </w:p>
          <w:p w14:paraId="24894388"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Institucije poročajo kapitalske zahteve, izračunane v skladu s členom 378 Uredbe (EU) št. 575/2013.</w:t>
            </w:r>
          </w:p>
        </w:tc>
      </w:tr>
      <w:tr w:rsidR="00925646" w:rsidRPr="002A677E" w14:paraId="185C6E1B" w14:textId="77777777" w:rsidTr="00E07FE9">
        <w:tc>
          <w:tcPr>
            <w:tcW w:w="852" w:type="dxa"/>
          </w:tcPr>
          <w:p w14:paraId="6691FECB"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09E890C2"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ZNESEK SKUPNE IZPOSTAVLJENOSTI TVEGANJU PORAVNAVE</w:t>
            </w:r>
          </w:p>
          <w:p w14:paraId="3A06223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V skladu s členom 92(4), točka (b), Uredbe (EU) št. 575/2013 institucije pomnožijo svoje kapitalske zahteve iz stolpca 0030 z 12,5, da izračunajo znesek izpostavljenosti tveganju poravnave.</w:t>
            </w:r>
          </w:p>
        </w:tc>
      </w:tr>
    </w:tbl>
    <w:p w14:paraId="2CF8C386" w14:textId="77777777" w:rsidR="00925646" w:rsidRPr="002A677E"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2A677E" w14:paraId="49AB5F6A" w14:textId="77777777" w:rsidTr="00E07FE9">
        <w:tc>
          <w:tcPr>
            <w:tcW w:w="8862" w:type="dxa"/>
            <w:gridSpan w:val="2"/>
            <w:shd w:val="clear" w:color="auto" w:fill="CCCCCC"/>
          </w:tcPr>
          <w:p w14:paraId="5E71AA9E"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b/>
                <w:sz w:val="24"/>
              </w:rPr>
              <w:t>Vrstice</w:t>
            </w:r>
          </w:p>
        </w:tc>
      </w:tr>
      <w:tr w:rsidR="00925646" w:rsidRPr="002A677E" w14:paraId="6E36F3A5" w14:textId="77777777" w:rsidTr="00E07FE9">
        <w:tc>
          <w:tcPr>
            <w:tcW w:w="852" w:type="dxa"/>
          </w:tcPr>
          <w:p w14:paraId="4E78548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79508667"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Skupaj neporavnani posli v netrgovalni knjigi</w:t>
            </w:r>
          </w:p>
          <w:p w14:paraId="21410DD0" w14:textId="700C573F"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Institucije poročajo združene informacije v zvezi s tveganjem poravnave/izročitve za pozicije v netrgovalni knjigi (kot je navedeno v členu 92(4), točka (ca), in členu 378 Uredbe (EU) št. 575/2013).</w:t>
            </w:r>
          </w:p>
          <w:p w14:paraId="57BBA9B8" w14:textId="77777777" w:rsidR="00925646" w:rsidRPr="002A677E" w:rsidRDefault="00925646" w:rsidP="00E07FE9">
            <w:pPr>
              <w:spacing w:beforeLines="60" w:before="144"/>
              <w:rPr>
                <w:rFonts w:ascii="Times New Roman" w:hAnsi="Times New Roman"/>
                <w:sz w:val="24"/>
              </w:rPr>
            </w:pPr>
            <w:r>
              <w:rPr>
                <w:rFonts w:ascii="Times New Roman" w:hAnsi="Times New Roman"/>
                <w:sz w:val="24"/>
              </w:rPr>
              <w:t>Institucije v celici {v0010; s0010} poročajo združeno vsoto neporavnanih poslov po datumu njihove zapadlosti po ustreznih dogovorjenih cenah poravnave.</w:t>
            </w:r>
          </w:p>
          <w:p w14:paraId="556AEAC8" w14:textId="77777777" w:rsidR="00925646" w:rsidRPr="002A677E" w:rsidRDefault="00925646" w:rsidP="00E07FE9">
            <w:pPr>
              <w:spacing w:beforeLines="60" w:before="144"/>
              <w:rPr>
                <w:rFonts w:ascii="Times New Roman" w:hAnsi="Times New Roman"/>
                <w:sz w:val="24"/>
              </w:rPr>
            </w:pPr>
            <w:r>
              <w:rPr>
                <w:rFonts w:ascii="Times New Roman" w:hAnsi="Times New Roman"/>
                <w:sz w:val="24"/>
              </w:rPr>
              <w:t>Institucije v celici {v0010; s0020} poročajo združene informacije za izpostavljenost razliki v ceni zaradi neporavnanih poslov z izgubo.</w:t>
            </w:r>
          </w:p>
          <w:p w14:paraId="01BDECE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Institucije v celici {v0010; s0030} poročajo združene kapitalske zahteve, pridobljene iz seštevka kapitalskih zahtev za neporavnane posle z množenjem „razlike v ceni“ iz stolpca 0020 z ustreznim faktorjem, ki temelji na številu </w:t>
            </w:r>
            <w:r>
              <w:rPr>
                <w:rFonts w:ascii="Times New Roman" w:hAnsi="Times New Roman"/>
                <w:sz w:val="24"/>
              </w:rPr>
              <w:lastRenderedPageBreak/>
              <w:t>delovnih dni po zapadlem datumu poravnave (kategorije iz člena 378, razpredelnica 1, Uredbe (EU) št. 575/2013).</w:t>
            </w:r>
          </w:p>
        </w:tc>
      </w:tr>
      <w:tr w:rsidR="00925646" w:rsidRPr="002A677E" w14:paraId="5C9B2254" w14:textId="77777777" w:rsidTr="00E07FE9">
        <w:tc>
          <w:tcPr>
            <w:tcW w:w="852" w:type="dxa"/>
          </w:tcPr>
          <w:p w14:paraId="4D2DFFF2"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lastRenderedPageBreak/>
              <w:t>0020–0060</w:t>
            </w:r>
          </w:p>
        </w:tc>
        <w:tc>
          <w:tcPr>
            <w:tcW w:w="8010" w:type="dxa"/>
          </w:tcPr>
          <w:p w14:paraId="78C0D32F"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Posli, neporavnani do 4 dni (faktor 0 %) </w:t>
            </w:r>
          </w:p>
          <w:p w14:paraId="18729DF9"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5 in 15 dni (faktor 8 %)</w:t>
            </w:r>
          </w:p>
          <w:p w14:paraId="00232284"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16 in 30 dni (faktor 50 %)</w:t>
            </w:r>
          </w:p>
          <w:p w14:paraId="5EEFD940"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31 in 45 dni (faktor 75 %)</w:t>
            </w:r>
          </w:p>
          <w:p w14:paraId="326E480A"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46 dni ali več (faktor 100 %)</w:t>
            </w:r>
          </w:p>
          <w:p w14:paraId="4BCE7D0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Institucije v vrsticah 0020 do 0060 poročajo informacije v zvezi s tveganjem poravnave/izročitve za pozicije v netrgovalni knjigi v skladu s kategorijami iz člena 378, razpredelnica 1, Uredbe (EU) št. 575/2013. </w:t>
            </w:r>
          </w:p>
          <w:p w14:paraId="4BA03842"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Za posle, neporavnane manj kot pet delovnih dni po zapadlem datumu poravnave, se ne zahtevajo kapitalske zahteve za tveganje poravnave/izročitve.</w:t>
            </w:r>
          </w:p>
        </w:tc>
      </w:tr>
      <w:tr w:rsidR="00925646" w:rsidRPr="002A677E" w14:paraId="271E44B6" w14:textId="77777777" w:rsidTr="00E07FE9">
        <w:tc>
          <w:tcPr>
            <w:tcW w:w="852" w:type="dxa"/>
          </w:tcPr>
          <w:p w14:paraId="4680CF00"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56920EB6"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Skupaj neporavnani posli v trgovalni knjigi</w:t>
            </w:r>
          </w:p>
          <w:p w14:paraId="3C4B428B" w14:textId="446A5161"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Institucije poročajo združene informacije v zvezi s tveganjem poravnave/izročitve za pozicije v trgovalni knjigi (kot je navedeno v členu 92(4), točka (ca), in členu 378 Uredbe (EU) št. 575/2013).</w:t>
            </w:r>
          </w:p>
          <w:p w14:paraId="2E44B3F3"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Institucije v celici {v0070; s0010} poročajo združeno vsoto neporavnanih poslov po datumu njihove zapadlosti po ustreznih dogovorjenih cenah poravnave.</w:t>
            </w:r>
          </w:p>
          <w:p w14:paraId="1CB848DF"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Institucije v celici {v0070; s0020} poročajo združene informacije za izpostavljenost razliki v ceni zaradi neporavnanih poslov z izgubo.</w:t>
            </w:r>
          </w:p>
          <w:p w14:paraId="64D05373"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sz w:val="24"/>
              </w:rPr>
              <w:t>Institucije v celici {v0070; s0030} poročajo združene kapitalske zahteve, pridobljene iz seštevka kapitalskih zahtev za neporavnane posle z množenjem „razlike v ceni“ iz stolpca 0020 z ustreznim faktorjem, ki temelji na številu delovnih dni po zapadlem datumu poravnave (kategorije iz člena 378, razpredelnica 1, Uredbe (EU) št. 575/2013).</w:t>
            </w:r>
          </w:p>
        </w:tc>
      </w:tr>
      <w:tr w:rsidR="00925646" w:rsidRPr="002A677E" w14:paraId="2284D88A" w14:textId="77777777" w:rsidTr="00E07FE9">
        <w:tc>
          <w:tcPr>
            <w:tcW w:w="852" w:type="dxa"/>
          </w:tcPr>
          <w:p w14:paraId="4F3EBD1A"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14:paraId="34E9771F"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Posli, neporavnani do 4 dni (faktor 0 %) </w:t>
            </w:r>
          </w:p>
          <w:p w14:paraId="7B8BB095"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5 in 15 dni (faktor 8 %)</w:t>
            </w:r>
          </w:p>
          <w:p w14:paraId="3902398B"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16 in 30 dni (faktor 50 %)</w:t>
            </w:r>
          </w:p>
          <w:p w14:paraId="25665540"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31 in 45 dni (faktor 75 %)</w:t>
            </w:r>
          </w:p>
          <w:p w14:paraId="61E1443A"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46 dni ali več (faktor 100 %)</w:t>
            </w:r>
          </w:p>
          <w:p w14:paraId="1A0345F5"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Institucije v vrsticah 0080 do 0120 poročajo informacije v zvezi s tveganjem poravnave/izročitve za pozicije v trgovalni knjigi v skladu s kategorijami iz člena 378, razpredelnica 1, Uredbe (EU) št. 575/2013. </w:t>
            </w:r>
          </w:p>
          <w:p w14:paraId="0A9F762A"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sz w:val="24"/>
              </w:rPr>
              <w:t>Za posle, neporavnane manj kot pet delovnih dni po zapadlem datumu poravnave, se ne zahtevajo kapitalske zahteve za tveganje poravnave/izročitve.</w:t>
            </w:r>
          </w:p>
        </w:tc>
      </w:tr>
    </w:tbl>
    <w:p w14:paraId="5D73F136" w14:textId="77777777" w:rsidR="00925646" w:rsidRPr="002A677E" w:rsidRDefault="00925646" w:rsidP="00925646">
      <w:pPr>
        <w:spacing w:after="0"/>
        <w:rPr>
          <w:rFonts w:ascii="Times New Roman" w:hAnsi="Times New Roman"/>
          <w:sz w:val="24"/>
        </w:rPr>
      </w:pPr>
    </w:p>
    <w:p w14:paraId="557ADFEB" w14:textId="289A7646" w:rsidR="00925646" w:rsidRPr="00C779EA" w:rsidRDefault="00C779EA">
      <w:pPr>
        <w:rPr>
          <w:rFonts w:ascii="Times New Roman" w:hAnsi="Times New Roman"/>
          <w:sz w:val="24"/>
          <w:szCs w:val="32"/>
        </w:rPr>
      </w:pPr>
      <w:r w:rsidRPr="00C779EA">
        <w:rPr>
          <w:rFonts w:ascii="Times New Roman" w:hAnsi="Times New Roman"/>
          <w:sz w:val="24"/>
          <w:szCs w:val="32"/>
        </w:rPr>
        <w:t>“</w:t>
      </w:r>
    </w:p>
    <w:sectPr w:rsidR="00925646" w:rsidRPr="00C779E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A1AA" w14:textId="77777777" w:rsidR="00960943" w:rsidRDefault="00960943" w:rsidP="00925646">
      <w:pPr>
        <w:spacing w:before="0" w:after="0"/>
      </w:pPr>
      <w:r>
        <w:separator/>
      </w:r>
    </w:p>
  </w:endnote>
  <w:endnote w:type="continuationSeparator" w:id="0">
    <w:p w14:paraId="65273641" w14:textId="77777777" w:rsidR="00960943" w:rsidRDefault="00960943" w:rsidP="00925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BB9E" w14:textId="77777777" w:rsidR="00960943" w:rsidRDefault="00960943" w:rsidP="00925646">
      <w:pPr>
        <w:spacing w:before="0" w:after="0"/>
      </w:pPr>
      <w:r>
        <w:separator/>
      </w:r>
    </w:p>
  </w:footnote>
  <w:footnote w:type="continuationSeparator" w:id="0">
    <w:p w14:paraId="07A05382" w14:textId="77777777" w:rsidR="00960943" w:rsidRDefault="00960943" w:rsidP="009256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Default="00925646">
    <w:pPr>
      <w:pStyle w:val="Header"/>
    </w:pPr>
    <w:r>
      <w:rPr>
        <w:noProof/>
      </w:rP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Default="00925646">
    <w:pPr>
      <w:pStyle w:val="Header"/>
    </w:pPr>
    <w:r>
      <w:rPr>
        <w:noProof/>
      </w:rP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Default="00925646">
    <w:pPr>
      <w:pStyle w:val="Header"/>
    </w:pPr>
    <w:r>
      <w:rPr>
        <w:noProof/>
      </w:rP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5A0E0B"/>
    <w:rsid w:val="00631623"/>
    <w:rsid w:val="006364D5"/>
    <w:rsid w:val="00736637"/>
    <w:rsid w:val="007E5623"/>
    <w:rsid w:val="00925646"/>
    <w:rsid w:val="00960943"/>
    <w:rsid w:val="009C5DD6"/>
    <w:rsid w:val="00A6002C"/>
    <w:rsid w:val="00AB618F"/>
    <w:rsid w:val="00B71F25"/>
    <w:rsid w:val="00C779EA"/>
    <w:rsid w:val="00CB0520"/>
    <w:rsid w:val="00EE75F2"/>
    <w:rsid w:val="00EF07A1"/>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41CB558F-79AE-4A43-B784-6405BA40DA64}"/>
</file>

<file path=customXml/itemProps3.xml><?xml version="1.0" encoding="utf-8"?>
<ds:datastoreItem xmlns:ds="http://schemas.openxmlformats.org/officeDocument/2006/customXml" ds:itemID="{1F446518-0FCF-416C-A682-F89A7C1B980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5458</Characters>
  <Application>Microsoft Office Word</Application>
  <DocSecurity>0</DocSecurity>
  <Lines>118</Lines>
  <Paragraphs>64</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VOLAVSEK Andrej (DGT)</cp:lastModifiedBy>
  <cp:revision>10</cp:revision>
  <dcterms:created xsi:type="dcterms:W3CDTF">2024-05-28T09:25:00Z</dcterms:created>
  <dcterms:modified xsi:type="dcterms:W3CDTF">2025-01-23T14:00:00Z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